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58" w:rsidRPr="00C97858" w:rsidRDefault="00B7279F" w:rsidP="00B938AD">
      <w:pPr>
        <w:pStyle w:val="1"/>
        <w:shd w:val="clear" w:color="auto" w:fill="FFFFFF"/>
        <w:spacing w:after="150"/>
        <w:ind w:left="-567"/>
        <w:rPr>
          <w:rFonts w:ascii="Calibri" w:hAnsi="Calibri"/>
          <w:i/>
          <w:iCs/>
          <w:color w:val="B13728"/>
          <w:kern w:val="32"/>
        </w:rPr>
      </w:pPr>
      <w:bookmarkStart w:id="0" w:name="_Toc316294759"/>
      <w:r w:rsidRPr="00B7279F">
        <w:rPr>
          <w:rFonts w:ascii="Calibri" w:hAnsi="Calibri"/>
          <w:i/>
          <w:iCs/>
          <w:color w:val="B13728"/>
          <w:kern w:val="32"/>
        </w:rPr>
        <w:t>Подробная программа курса</w:t>
      </w:r>
      <w:r w:rsidR="00282258">
        <w:rPr>
          <w:rFonts w:ascii="Calibri" w:hAnsi="Calibri"/>
          <w:i/>
          <w:iCs/>
          <w:color w:val="B13728"/>
          <w:kern w:val="32"/>
        </w:rPr>
        <w:t xml:space="preserve"> </w:t>
      </w:r>
      <w:bookmarkEnd w:id="0"/>
      <w:r w:rsidR="00B938AD" w:rsidRPr="00B938AD">
        <w:rPr>
          <w:rFonts w:ascii="Calibri" w:hAnsi="Calibri"/>
          <w:i/>
          <w:iCs/>
          <w:color w:val="B13728"/>
          <w:kern w:val="32"/>
        </w:rPr>
        <w:t>«Комбинированный курс. Расписание и бюджет проекта: эффективное планирование, управление и контроль»</w:t>
      </w:r>
    </w:p>
    <w:p w:rsidR="009C6AFC" w:rsidRDefault="00E4599E" w:rsidP="00B8274A">
      <w:pPr>
        <w:spacing w:beforeLines="60" w:afterLines="60"/>
        <w:ind w:left="-567"/>
      </w:pPr>
      <w:r w:rsidRPr="000C045E">
        <w:rPr>
          <w:b/>
          <w:shd w:val="clear" w:color="auto" w:fill="FFFFFF"/>
        </w:rPr>
        <w:t>Продолжительность</w:t>
      </w:r>
      <w:r w:rsidR="004E1DAE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– </w:t>
      </w:r>
      <w:r w:rsidR="004E1DAE">
        <w:rPr>
          <w:shd w:val="clear" w:color="auto" w:fill="FFFFFF"/>
        </w:rPr>
        <w:t xml:space="preserve"> </w:t>
      </w:r>
      <w:r w:rsidR="00B938AD">
        <w:t>2</w:t>
      </w:r>
      <w:r w:rsidR="009C6AFC" w:rsidRPr="009C6AFC">
        <w:t xml:space="preserve"> </w:t>
      </w:r>
      <w:r w:rsidR="00B938AD">
        <w:t>дня</w:t>
      </w:r>
    </w:p>
    <w:p w:rsidR="00E4599E" w:rsidRDefault="00633594" w:rsidP="00B8274A">
      <w:pPr>
        <w:spacing w:beforeLines="60" w:afterLines="60"/>
        <w:ind w:left="-567"/>
      </w:pPr>
      <w:r>
        <w:rPr>
          <w:rFonts w:ascii="Times New Roman" w:eastAsia="Times New Roman" w:hAnsi="Times New Roman" w:cs="Times New Roman"/>
          <w:color w:val="auto"/>
          <w:sz w:val="32"/>
        </w:rPr>
        <w:t>ВВЕДЕНИЕ В УПРАВЛЕНИЕ</w:t>
      </w:r>
      <w:r w:rsidR="00A3130A">
        <w:rPr>
          <w:rFonts w:ascii="Times New Roman" w:eastAsia="Times New Roman" w:hAnsi="Times New Roman" w:cs="Times New Roman"/>
          <w:color w:val="auto"/>
          <w:sz w:val="32"/>
        </w:rPr>
        <w:t xml:space="preserve"> СРОКАМИ ПРОЕКТА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Две основные группы процессов при управлении сроками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Назначение и место управления сроками в управлении проектом</w:t>
      </w:r>
    </w:p>
    <w:p w:rsidR="00E4599E" w:rsidRPr="00A77BDB" w:rsidRDefault="00A3130A" w:rsidP="00B8274A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 xml:space="preserve"> ПЛАНИРОВАНИЕ УПРАВЛЕНИЯ СРОКАМИ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Входы процесса, инструменты и методы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План управления расписанием</w:t>
      </w:r>
    </w:p>
    <w:p w:rsidR="00D36B93" w:rsidRPr="0038724D" w:rsidRDefault="00A3130A" w:rsidP="00295197">
      <w:pPr>
        <w:pStyle w:val="3"/>
        <w:shd w:val="clear" w:color="auto" w:fill="FFFFFF"/>
        <w:tabs>
          <w:tab w:val="num" w:pos="-567"/>
        </w:tabs>
        <w:spacing w:before="300" w:after="150"/>
        <w:ind w:left="-567" w:hanging="11"/>
        <w:rPr>
          <w:rFonts w:ascii="Tahoma" w:hAnsi="Tahoma" w:cs="Tahoma"/>
          <w:color w:val="B13728"/>
          <w:sz w:val="22"/>
        </w:rPr>
      </w:pPr>
      <w:r>
        <w:rPr>
          <w:color w:val="auto"/>
        </w:rPr>
        <w:t xml:space="preserve"> ОПРЕДЕЛЕНИЕ ОПЕРАЦИЙ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Метод декомпозиции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Иерархическая структура работ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Принципы и методы декомпозиции, использование экспертных оценок</w:t>
      </w:r>
    </w:p>
    <w:p w:rsidR="0086330F" w:rsidRPr="00A3130A" w:rsidRDefault="00A3130A" w:rsidP="00295197">
      <w:pPr>
        <w:pStyle w:val="3"/>
        <w:shd w:val="clear" w:color="auto" w:fill="FFFFFF"/>
        <w:tabs>
          <w:tab w:val="num" w:pos="-567"/>
        </w:tabs>
        <w:spacing w:before="300" w:after="150"/>
        <w:ind w:left="-567" w:hanging="11"/>
        <w:rPr>
          <w:rFonts w:ascii="Tahoma" w:hAnsi="Tahoma" w:cs="Tahoma"/>
          <w:color w:val="B13728"/>
          <w:sz w:val="22"/>
        </w:rPr>
      </w:pPr>
      <w:r>
        <w:rPr>
          <w:color w:val="auto"/>
        </w:rPr>
        <w:t xml:space="preserve"> ОПРЕДЕЛЕНИЕ ПОСЛЕДОВАТЕЛЬНОСТИ ОПЕРАЦИЙ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Метод диаграмм предшествования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Типы и виды зависимостей операций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Опережения и задержки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Практические рекомендации по составлению диаграмм предшествования</w:t>
      </w:r>
    </w:p>
    <w:p w:rsidR="00A77BDB" w:rsidRPr="0038724D" w:rsidRDefault="00A3130A" w:rsidP="00295197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 xml:space="preserve"> ОЦЕНКА РЕСУРСОВ И ДЛИТЕЛЬНОСТИ ОПЕРАЦИЙ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3М – анализ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Ключевые методы и инструменты оценки ресурсов операций: экспертные оценки, анализ альтернатив, опубликованные оценочные данные, оценка «снизу-вверх»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Требования к ресурсам, иерархическая структура ресурсов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Методы оценки длительности: экспертная, по аналогам, параметрическая, PERT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Длительность задачи и производительность труда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Эффективность использования рабочего времени</w:t>
      </w:r>
    </w:p>
    <w:p w:rsidR="00A77BDB" w:rsidRDefault="00A3130A" w:rsidP="00295197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 xml:space="preserve"> РАЗРАБОТКА РАСПИСАНИЯ ПРОЕКТА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Участие команды проекта в составлении расписания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План управления расписанием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Определение контрольных точек, примеры контрольных точек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Метод критического пути, прямой и обратный проход по сетевой диаграмме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Критический путь и резерв времени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lastRenderedPageBreak/>
        <w:t>Методы оптимизации расписания: выравнивание и сглаживание ресурсов, быстрый проход и сжатие расписания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Оптимизация расписания и стоимость проекта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Метод критической цепи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Буферы времени и ресурсов</w:t>
      </w:r>
    </w:p>
    <w:p w:rsidR="00A3130A" w:rsidRDefault="00A3130A" w:rsidP="00295197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ПРЕДСТАВЛЕНИЕ РАСПИСАНИЯ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Диаграмма контрольных точек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Сетевая диаграмма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Диаграмма Гантта</w:t>
      </w:r>
    </w:p>
    <w:p w:rsidR="00A3130A" w:rsidRDefault="00A3130A" w:rsidP="00295197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КОНТРОЛЬ РАСПИСАНИЯ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Методы простого и детального контроля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Метод освоенного объема. Определение отклонения по срокам и индекса выполнения сроков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Метод критической цепи. Анализ буферов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Контрольные точки как инструмент мониторинга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Методы реагирования на отставания от базового плана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Практические рекомендации по управлению сроками в проектах различной сложности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Практические рекомендации по управлению временем для руководителя проекта</w:t>
      </w:r>
    </w:p>
    <w:p w:rsidR="00A3130A" w:rsidRDefault="00A3130A" w:rsidP="00295197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ОБЩИЕ СВЕДЕНИЯ ОБ УПРАВЛЕНЧЕСКОМ УЧЕТЕ И БЮДЖЕТИРОВАНИИ В КОМПАНИИ И ПРОЕКТЕ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Прибыль компании и потенциальные источники увеличения прибыли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Базовые определения дохода, стоимости, расходов, прибыли и прихода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Добавленная рыночная стоимость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Бюджет компании и бюджет проекта. Виды и классификация бюджетов. Бюджетирование. Бюджетный цикл.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Трудности и результаты внедрения процесса бюджетирования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Концепция бюджета проекта</w:t>
      </w:r>
    </w:p>
    <w:p w:rsidR="00A3130A" w:rsidRDefault="00A3130A" w:rsidP="00295197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УПРАВЛЕНИЕ СТОИМОСТЬЮ ПРОЕКТА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Процессы управления стоимостью</w:t>
      </w:r>
    </w:p>
    <w:p w:rsidR="00A3130A" w:rsidRDefault="00A3130A" w:rsidP="00295197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ПЛАНИРОВАНИЕ УПРАВЛЕНИЯ СТОИМОСТЬЮ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Входы процесса, инструменты и методы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План управления стоимостью</w:t>
      </w:r>
    </w:p>
    <w:p w:rsidR="00A3130A" w:rsidRDefault="00A3130A" w:rsidP="00295197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ОЦЕНКА СТОИМОСТИ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Что такое оценка стоимости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Точность оценки стоимости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Методы и средства оценки стоимости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Типы оценки стоимости</w:t>
      </w:r>
    </w:p>
    <w:p w:rsidR="00A3130A" w:rsidRDefault="00A3130A" w:rsidP="00295197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lastRenderedPageBreak/>
        <w:t>ОПРЕДЛЕНИЕ БЮДЖЕТА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Этапы разработки и формирования бюджета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Базовый стоимостной план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Классификация расходов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Определение резервов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Виды бюджетов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Формирование бюджета проекта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Ошибки при разработке бюджета</w:t>
      </w:r>
    </w:p>
    <w:p w:rsidR="00A3130A" w:rsidRDefault="00A3130A" w:rsidP="00295197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КОНТРОЛЬ</w:t>
      </w:r>
      <w:r w:rsidRPr="00A3130A">
        <w:rPr>
          <w:rFonts w:ascii="Times New Roman" w:eastAsia="Times New Roman" w:hAnsi="Times New Roman" w:cs="Times New Roman"/>
          <w:color w:val="auto"/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32"/>
        </w:rPr>
        <w:t>СТОИМОСТИ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Задачи руководителя проекта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Ошибки при контроле исполнения бюджета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Метод освоенного объема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Ключевые и основные производственные показатели, анализ показателей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Критерии кредита освоенного объема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Прогнозирующие показатели, методы прогнозирования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Стоимостной анализ проекта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Индекс эффективности использования бюджета проекта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Ошибки при анализе отклонений</w:t>
      </w:r>
    </w:p>
    <w:p w:rsidR="00A3130A" w:rsidRDefault="00A3130A" w:rsidP="00295197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УПРАВЛЕНИЕ</w:t>
      </w:r>
      <w:r w:rsidRPr="00A3130A">
        <w:rPr>
          <w:rFonts w:ascii="Times New Roman" w:eastAsia="Times New Roman" w:hAnsi="Times New Roman" w:cs="Times New Roman"/>
          <w:color w:val="auto"/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32"/>
        </w:rPr>
        <w:t>КОНТРАКТАМИ ПРОЕКТА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Бюджет проекта и контрактная информация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Основные виды контрактов</w:t>
      </w:r>
    </w:p>
    <w:p w:rsidR="00295197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Зависимость рисков поставщика и покупателя от вида контракта</w:t>
      </w:r>
    </w:p>
    <w:p w:rsidR="00A3130A" w:rsidRPr="00A3130A" w:rsidRDefault="00295197" w:rsidP="00295197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rFonts w:ascii="Tahoma" w:eastAsia="Times New Roman" w:hAnsi="Tahoma" w:cs="Tahoma"/>
          <w:color w:val="404040"/>
          <w:sz w:val="18"/>
          <w:szCs w:val="18"/>
        </w:rPr>
      </w:pPr>
      <w:r w:rsidRPr="00295197">
        <w:rPr>
          <w:rFonts w:ascii="Times New Roman" w:eastAsia="Times New Roman" w:hAnsi="Times New Roman" w:cs="Times New Roman"/>
          <w:color w:val="auto"/>
          <w:sz w:val="32"/>
        </w:rPr>
        <w:t>ОПРЕДЛЕНИЕ ЦЕНЫ ПРОЕКТНОГО РЕШЕНИЯ</w:t>
      </w:r>
    </w:p>
    <w:p w:rsidR="00295197" w:rsidRPr="00295197" w:rsidRDefault="00295197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Цена с наценкой</w:t>
      </w:r>
    </w:p>
    <w:p w:rsidR="00295197" w:rsidRPr="00295197" w:rsidRDefault="00295197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Цена с прибылью</w:t>
      </w:r>
    </w:p>
    <w:p w:rsidR="00295197" w:rsidRPr="00295197" w:rsidRDefault="00295197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Оценка вложений в проект</w:t>
      </w:r>
    </w:p>
    <w:p w:rsidR="00295197" w:rsidRPr="00295197" w:rsidRDefault="00295197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Окупаемость проекта</w:t>
      </w:r>
    </w:p>
    <w:p w:rsidR="00295197" w:rsidRPr="00295197" w:rsidRDefault="00295197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Метод приведённой будущей стоимости</w:t>
      </w:r>
    </w:p>
    <w:p w:rsidR="00295197" w:rsidRPr="00295197" w:rsidRDefault="00295197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Стоимость денег</w:t>
      </w:r>
    </w:p>
    <w:p w:rsidR="00295197" w:rsidRPr="00295197" w:rsidRDefault="00295197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Правило NPV</w:t>
      </w:r>
    </w:p>
    <w:p w:rsidR="00295197" w:rsidRPr="00295197" w:rsidRDefault="00295197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Другие основные финансовые показатели проекта</w:t>
      </w:r>
    </w:p>
    <w:p w:rsidR="00A3130A" w:rsidRPr="00295197" w:rsidRDefault="00295197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Финансовый анализ различных вариантов проекта</w:t>
      </w:r>
    </w:p>
    <w:p w:rsidR="00A3130A" w:rsidRDefault="00A3130A" w:rsidP="00295197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РОЛЬ УПРАВЛЕНИЯ БЮДЖЕТОМ В ДОСТИЖЕНИИ ЦЕЛЕЙ ПРОЕКТА</w:t>
      </w:r>
    </w:p>
    <w:p w:rsidR="00295197" w:rsidRPr="00295197" w:rsidRDefault="00295197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Причины неудачного управления бюджетом</w:t>
      </w:r>
    </w:p>
    <w:p w:rsidR="00A3130A" w:rsidRPr="00295197" w:rsidRDefault="00295197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Рекомендации по высокоэффективному управлению бюджетом проекта</w:t>
      </w:r>
    </w:p>
    <w:p w:rsidR="00A3130A" w:rsidRPr="00633594" w:rsidRDefault="00A3130A" w:rsidP="00A3130A">
      <w:pPr>
        <w:shd w:val="clear" w:color="auto" w:fill="FFFFFF"/>
        <w:spacing w:before="100" w:beforeAutospacing="1" w:after="100" w:afterAutospacing="1" w:line="240" w:lineRule="auto"/>
        <w:ind w:left="-567"/>
      </w:pPr>
    </w:p>
    <w:sectPr w:rsidR="00A3130A" w:rsidRPr="00633594" w:rsidSect="00B8274A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8" w:right="991" w:bottom="993" w:left="1701" w:header="4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D02" w:rsidRDefault="00DC3D02">
      <w:pPr>
        <w:spacing w:after="0" w:line="240" w:lineRule="auto"/>
      </w:pPr>
      <w:r>
        <w:separator/>
      </w:r>
    </w:p>
  </w:endnote>
  <w:endnote w:type="continuationSeparator" w:id="1">
    <w:p w:rsidR="00DC3D02" w:rsidRDefault="00DC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444029">
    <w:pPr>
      <w:spacing w:after="63"/>
      <w:ind w:right="-224"/>
      <w:jc w:val="right"/>
    </w:pPr>
    <w:r>
      <w:rPr>
        <w:noProof/>
      </w:rPr>
      <w:pict>
        <v:group id="Group 24153" o:spid="_x0000_s6147" style="position:absolute;left:0;text-align:left;margin-left:557.5pt;margin-top:806.05pt;width:33pt;height:.5pt;z-index:251656192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">
          <v:shape id="Shape 25201" o:spid="_x0000_s6148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444029">
      <w:fldChar w:fldCharType="begin"/>
    </w:r>
    <w:r w:rsidR="00E82323">
      <w:instrText xml:space="preserve"> PAGE   \* MERGEFORMAT </w:instrText>
    </w:r>
    <w:r w:rsidRPr="00444029">
      <w:fldChar w:fldCharType="separate"/>
    </w:r>
    <w:r w:rsidR="00E82323">
      <w:rPr>
        <w:rFonts w:ascii="Century Gothic" w:eastAsia="Century Gothic" w:hAnsi="Century Gothic" w:cs="Century Gothic"/>
        <w:b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444029">
    <w:pPr>
      <w:spacing w:after="63"/>
      <w:ind w:right="-224"/>
      <w:jc w:val="right"/>
    </w:pPr>
    <w:r>
      <w:rPr>
        <w:noProof/>
      </w:rPr>
      <w:pict>
        <v:group id="Group 24141" o:spid="_x0000_s6145" style="position:absolute;left:0;text-align:left;margin-left:557.5pt;margin-top:806.05pt;width:33pt;height:.5pt;z-index:251662336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">
          <v:shape id="Shape 25200" o:spid="_x0000_s6146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444029">
      <w:fldChar w:fldCharType="begin"/>
    </w:r>
    <w:r w:rsidR="00E82323">
      <w:instrText xml:space="preserve"> PAGE   \* MERGEFORMAT </w:instrText>
    </w:r>
    <w:r w:rsidRPr="00444029">
      <w:fldChar w:fldCharType="separate"/>
    </w:r>
    <w:r w:rsidR="00B8274A" w:rsidRPr="00B8274A">
      <w:rPr>
        <w:rFonts w:ascii="Century Gothic" w:eastAsia="Century Gothic" w:hAnsi="Century Gothic" w:cs="Century Gothic"/>
        <w:b/>
        <w:noProof/>
        <w:color w:val="F16100"/>
        <w:sz w:val="24"/>
      </w:rPr>
      <w:t>3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D02" w:rsidRDefault="00DC3D02">
      <w:pPr>
        <w:spacing w:after="0"/>
        <w:ind w:left="14"/>
      </w:pPr>
      <w:r>
        <w:separator/>
      </w:r>
    </w:p>
  </w:footnote>
  <w:footnote w:type="continuationSeparator" w:id="1">
    <w:p w:rsidR="00DC3D02" w:rsidRDefault="00DC3D02">
      <w:pPr>
        <w:spacing w:after="0"/>
        <w:ind w:left="1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Pr="00CC4DF0" w:rsidRDefault="00CC4DF0" w:rsidP="004B3E5F">
    <w:pPr>
      <w:pStyle w:val="a5"/>
      <w:tabs>
        <w:tab w:val="clear" w:pos="9355"/>
        <w:tab w:val="right" w:pos="9781"/>
      </w:tabs>
      <w:ind w:right="-127" w:hanging="993"/>
    </w:pPr>
    <w:r>
      <w:rPr>
        <w:noProof/>
      </w:rPr>
      <w:drawing>
        <wp:inline distT="0" distB="0" distL="0" distR="0">
          <wp:extent cx="6800850" cy="357159"/>
          <wp:effectExtent l="0" t="0" r="0" b="5080"/>
          <wp:docPr id="2761" name="Рисунок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55" cy="37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Default="004B3E5F" w:rsidP="00CC4DF0">
    <w:pPr>
      <w:pStyle w:val="a5"/>
      <w:ind w:hanging="1134"/>
    </w:pPr>
    <w:r>
      <w:rPr>
        <w:noProof/>
      </w:rPr>
      <w:drawing>
        <wp:inline distT="0" distB="0" distL="0" distR="0">
          <wp:extent cx="6844030" cy="359428"/>
          <wp:effectExtent l="0" t="0" r="0" b="2540"/>
          <wp:docPr id="2762" name="Рисунок 2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396" cy="3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A92"/>
    <w:multiLevelType w:val="multilevel"/>
    <w:tmpl w:val="436A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12EEE"/>
    <w:multiLevelType w:val="multilevel"/>
    <w:tmpl w:val="5CA2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F44BD"/>
    <w:multiLevelType w:val="multilevel"/>
    <w:tmpl w:val="71F6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21174"/>
    <w:multiLevelType w:val="multilevel"/>
    <w:tmpl w:val="83EC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A59F6"/>
    <w:multiLevelType w:val="multilevel"/>
    <w:tmpl w:val="E358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FF2262"/>
    <w:multiLevelType w:val="multilevel"/>
    <w:tmpl w:val="8272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426E0"/>
    <w:multiLevelType w:val="multilevel"/>
    <w:tmpl w:val="49AA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AF7556"/>
    <w:multiLevelType w:val="multilevel"/>
    <w:tmpl w:val="538E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0C5898"/>
    <w:multiLevelType w:val="multilevel"/>
    <w:tmpl w:val="0CB4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6930A2"/>
    <w:multiLevelType w:val="multilevel"/>
    <w:tmpl w:val="00C8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8B46BB"/>
    <w:multiLevelType w:val="multilevel"/>
    <w:tmpl w:val="839E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051641"/>
    <w:multiLevelType w:val="multilevel"/>
    <w:tmpl w:val="C21A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A3413C"/>
    <w:multiLevelType w:val="multilevel"/>
    <w:tmpl w:val="BB02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3F6509"/>
    <w:multiLevelType w:val="multilevel"/>
    <w:tmpl w:val="934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D44A41"/>
    <w:multiLevelType w:val="multilevel"/>
    <w:tmpl w:val="C708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9F02ED"/>
    <w:multiLevelType w:val="multilevel"/>
    <w:tmpl w:val="E622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A0390C"/>
    <w:multiLevelType w:val="multilevel"/>
    <w:tmpl w:val="9608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C26A0B"/>
    <w:multiLevelType w:val="multilevel"/>
    <w:tmpl w:val="E832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C47096"/>
    <w:multiLevelType w:val="multilevel"/>
    <w:tmpl w:val="F296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CD1D2F"/>
    <w:multiLevelType w:val="multilevel"/>
    <w:tmpl w:val="9614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496663"/>
    <w:multiLevelType w:val="multilevel"/>
    <w:tmpl w:val="7D2E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033FFE"/>
    <w:multiLevelType w:val="multilevel"/>
    <w:tmpl w:val="611C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3808D3"/>
    <w:multiLevelType w:val="multilevel"/>
    <w:tmpl w:val="7842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4F6A87"/>
    <w:multiLevelType w:val="multilevel"/>
    <w:tmpl w:val="20E4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AD67DF"/>
    <w:multiLevelType w:val="multilevel"/>
    <w:tmpl w:val="612E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914C3B"/>
    <w:multiLevelType w:val="multilevel"/>
    <w:tmpl w:val="5516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2538D7"/>
    <w:multiLevelType w:val="multilevel"/>
    <w:tmpl w:val="A900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57507C"/>
    <w:multiLevelType w:val="multilevel"/>
    <w:tmpl w:val="B55E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41727E"/>
    <w:multiLevelType w:val="multilevel"/>
    <w:tmpl w:val="4094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7D5593"/>
    <w:multiLevelType w:val="multilevel"/>
    <w:tmpl w:val="5996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E51F78"/>
    <w:multiLevelType w:val="multilevel"/>
    <w:tmpl w:val="0708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731D4E"/>
    <w:multiLevelType w:val="multilevel"/>
    <w:tmpl w:val="DE56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8E64C7"/>
    <w:multiLevelType w:val="multilevel"/>
    <w:tmpl w:val="D1CA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191507"/>
    <w:multiLevelType w:val="multilevel"/>
    <w:tmpl w:val="B89A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2F7900"/>
    <w:multiLevelType w:val="multilevel"/>
    <w:tmpl w:val="7BE6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3430C2"/>
    <w:multiLevelType w:val="multilevel"/>
    <w:tmpl w:val="8398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E40FD5"/>
    <w:multiLevelType w:val="multilevel"/>
    <w:tmpl w:val="1724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0821FA"/>
    <w:multiLevelType w:val="multilevel"/>
    <w:tmpl w:val="485E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FC6656"/>
    <w:multiLevelType w:val="multilevel"/>
    <w:tmpl w:val="866E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2"/>
  </w:num>
  <w:num w:numId="5">
    <w:abstractNumId w:val="3"/>
  </w:num>
  <w:num w:numId="6">
    <w:abstractNumId w:val="34"/>
  </w:num>
  <w:num w:numId="7">
    <w:abstractNumId w:val="16"/>
  </w:num>
  <w:num w:numId="8">
    <w:abstractNumId w:val="11"/>
  </w:num>
  <w:num w:numId="9">
    <w:abstractNumId w:val="35"/>
  </w:num>
  <w:num w:numId="10">
    <w:abstractNumId w:val="17"/>
  </w:num>
  <w:num w:numId="11">
    <w:abstractNumId w:val="24"/>
  </w:num>
  <w:num w:numId="12">
    <w:abstractNumId w:val="1"/>
  </w:num>
  <w:num w:numId="13">
    <w:abstractNumId w:val="4"/>
  </w:num>
  <w:num w:numId="14">
    <w:abstractNumId w:val="19"/>
  </w:num>
  <w:num w:numId="15">
    <w:abstractNumId w:val="8"/>
  </w:num>
  <w:num w:numId="16">
    <w:abstractNumId w:val="25"/>
  </w:num>
  <w:num w:numId="17">
    <w:abstractNumId w:val="27"/>
  </w:num>
  <w:num w:numId="18">
    <w:abstractNumId w:val="26"/>
  </w:num>
  <w:num w:numId="19">
    <w:abstractNumId w:val="0"/>
  </w:num>
  <w:num w:numId="20">
    <w:abstractNumId w:val="37"/>
  </w:num>
  <w:num w:numId="21">
    <w:abstractNumId w:val="29"/>
  </w:num>
  <w:num w:numId="22">
    <w:abstractNumId w:val="9"/>
  </w:num>
  <w:num w:numId="23">
    <w:abstractNumId w:val="22"/>
  </w:num>
  <w:num w:numId="24">
    <w:abstractNumId w:val="2"/>
  </w:num>
  <w:num w:numId="25">
    <w:abstractNumId w:val="15"/>
  </w:num>
  <w:num w:numId="26">
    <w:abstractNumId w:val="30"/>
  </w:num>
  <w:num w:numId="27">
    <w:abstractNumId w:val="14"/>
  </w:num>
  <w:num w:numId="28">
    <w:abstractNumId w:val="36"/>
  </w:num>
  <w:num w:numId="29">
    <w:abstractNumId w:val="28"/>
  </w:num>
  <w:num w:numId="30">
    <w:abstractNumId w:val="38"/>
  </w:num>
  <w:num w:numId="31">
    <w:abstractNumId w:val="13"/>
  </w:num>
  <w:num w:numId="32">
    <w:abstractNumId w:val="33"/>
  </w:num>
  <w:num w:numId="33">
    <w:abstractNumId w:val="12"/>
  </w:num>
  <w:num w:numId="34">
    <w:abstractNumId w:val="7"/>
  </w:num>
  <w:num w:numId="35">
    <w:abstractNumId w:val="21"/>
  </w:num>
  <w:num w:numId="36">
    <w:abstractNumId w:val="31"/>
  </w:num>
  <w:num w:numId="37">
    <w:abstractNumId w:val="20"/>
  </w:num>
  <w:num w:numId="38">
    <w:abstractNumId w:val="18"/>
  </w:num>
  <w:num w:numId="39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6"/>
    </o:shapelayout>
  </w:hdrShapeDefaults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2F2093"/>
    <w:rsid w:val="000E0B4D"/>
    <w:rsid w:val="0014118E"/>
    <w:rsid w:val="00165E76"/>
    <w:rsid w:val="00181BC2"/>
    <w:rsid w:val="001C5E0A"/>
    <w:rsid w:val="00260706"/>
    <w:rsid w:val="00282258"/>
    <w:rsid w:val="00295197"/>
    <w:rsid w:val="002F0211"/>
    <w:rsid w:val="002F2093"/>
    <w:rsid w:val="00306205"/>
    <w:rsid w:val="0033194C"/>
    <w:rsid w:val="0038724D"/>
    <w:rsid w:val="00421647"/>
    <w:rsid w:val="00444029"/>
    <w:rsid w:val="00453CFD"/>
    <w:rsid w:val="0046445A"/>
    <w:rsid w:val="00473BAB"/>
    <w:rsid w:val="0049388F"/>
    <w:rsid w:val="004B277F"/>
    <w:rsid w:val="004B3E5F"/>
    <w:rsid w:val="004E1DAE"/>
    <w:rsid w:val="00542F6C"/>
    <w:rsid w:val="0055414E"/>
    <w:rsid w:val="005E7AF5"/>
    <w:rsid w:val="00612E4B"/>
    <w:rsid w:val="006233B5"/>
    <w:rsid w:val="00633594"/>
    <w:rsid w:val="006A50A4"/>
    <w:rsid w:val="006D42C7"/>
    <w:rsid w:val="006F56F1"/>
    <w:rsid w:val="00731625"/>
    <w:rsid w:val="007326CC"/>
    <w:rsid w:val="007A5E0A"/>
    <w:rsid w:val="00821735"/>
    <w:rsid w:val="0085743E"/>
    <w:rsid w:val="0086330F"/>
    <w:rsid w:val="00871245"/>
    <w:rsid w:val="00877E0B"/>
    <w:rsid w:val="00883AEF"/>
    <w:rsid w:val="00891DDB"/>
    <w:rsid w:val="00894837"/>
    <w:rsid w:val="00924A4E"/>
    <w:rsid w:val="009C6AFC"/>
    <w:rsid w:val="00A3130A"/>
    <w:rsid w:val="00A452A9"/>
    <w:rsid w:val="00A5387B"/>
    <w:rsid w:val="00A6541D"/>
    <w:rsid w:val="00A734C3"/>
    <w:rsid w:val="00A77BDB"/>
    <w:rsid w:val="00B7279F"/>
    <w:rsid w:val="00B8274A"/>
    <w:rsid w:val="00B828F4"/>
    <w:rsid w:val="00B938AD"/>
    <w:rsid w:val="00BE0ECE"/>
    <w:rsid w:val="00C22E1E"/>
    <w:rsid w:val="00C946CF"/>
    <w:rsid w:val="00C97858"/>
    <w:rsid w:val="00CB1C8D"/>
    <w:rsid w:val="00CB6669"/>
    <w:rsid w:val="00CC4DF0"/>
    <w:rsid w:val="00CD5B20"/>
    <w:rsid w:val="00D11312"/>
    <w:rsid w:val="00D36B93"/>
    <w:rsid w:val="00D4172C"/>
    <w:rsid w:val="00DC3D02"/>
    <w:rsid w:val="00DD3E7F"/>
    <w:rsid w:val="00E146BC"/>
    <w:rsid w:val="00E4599E"/>
    <w:rsid w:val="00E82323"/>
    <w:rsid w:val="00EB0473"/>
    <w:rsid w:val="00EB310D"/>
    <w:rsid w:val="00EB6B5E"/>
    <w:rsid w:val="00F12437"/>
    <w:rsid w:val="00F25FF0"/>
    <w:rsid w:val="00F5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40">
    <w:name w:val="Заголовок 4 Знак"/>
    <w:link w:val="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30">
    <w:name w:val="Заголовок 3 Знак"/>
    <w:link w:val="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F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F0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9C6AF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6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DFA0-B090-49D8-81A0-7B8B350E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e.varlamova</dc:creator>
  <cp:lastModifiedBy>user</cp:lastModifiedBy>
  <cp:revision>4</cp:revision>
  <dcterms:created xsi:type="dcterms:W3CDTF">2019-05-25T13:12:00Z</dcterms:created>
  <dcterms:modified xsi:type="dcterms:W3CDTF">2020-09-28T12:49:00Z</dcterms:modified>
</cp:coreProperties>
</file>